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2006 56 vom 21. November 2006</w:t>
      </w:r>
    </w:p>
    <w:p>
      <w:r>
        <w:t>GR Gerichte, 2006-11-21, DE</w:t>
      </w:r>
    </w:p>
    <w:p>
      <w:r>
        <w:rPr>
          <w:b/>
        </w:rPr>
        <w:t xml:space="preserve">Quelle: </w:t>
      </w:r>
      <w:r>
        <w:t>https://mcp.opencaselaw.ch/entscheid/gr_gerichte_R 2006 56</w:t>
      </w:r>
    </w:p>
    <w:p>
      <w:r>
        <w:t>FR: GR_GERICHTE R 2006 56 du 21 novembre 2006</w:t>
      </w:r>
    </w:p>
    <w:p>
      <w:r>
        <w:t>IT: GR_GERICHTE R 2006 56 del 21 novembre 2006</w:t>
      </w:r>
    </w:p>
    <w:p>
      <w:pPr>
        <w:pStyle w:val="Heading2"/>
      </w:pPr>
      <w:r>
        <w:t>Regeste</w:t>
      </w:r>
    </w:p>
    <w:p>
      <w:r>
        <w:t>Quartierplan | Planung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Bei diesem Ausgang gehen die Verfahrenskosten je zur Hälfte zulasten der Parteien, während die aussergerichtlichen Kosten wettzuschlagen sind. Demnach erkennt das Gericht: 1. Der Rekurs wird teilweise gutgeheissen und der angefochtene Einspracheentscheid und der zugrunde liegende Kostenverteiler werden insoweit aufgehoben als der Rekurrentin - mit Ausnahme des allgemeinen Landabzuges - Planungs- und Erschliessungskosten auferlegt wurden. Im Übrigen wird der Rekurs abgewiesen. 2. Die Gerichtskosten, bestehend - aus einer Staatsgebühr von Fr. 5'000.-- - und den Kanzleiauslagen von Fr. 636.-- zusammen Fr. 5'636.-- gehen je zur Hälfte zulasten der Stockwerkeigentümergemeinschaft … und der Gemeinde … und sind innert 30 Tagen seit Zustellung dieses Entscheides an die Finanzverwaltung des Kantons Graubünden, Chur, zu bezahlen.</w:t>
      </w:r>
    </w:p>
    <w:p>
      <w:r>
        <w:t>3. Die aussergerichtlichen Kosten werden wettgeschlagen. Die dagegen an das Bundesgericht erhobene staatsrechtliche Beschwerde wurde am 17. August 2007 abgewiesen, soweit darauf eingetreten wurde (1P.62/2007).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